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CB4" w:rsidRDefault="00C06CB4" w:rsidP="00C06CB4">
      <w:pPr>
        <w:spacing w:line="240" w:lineRule="auto"/>
        <w:ind w:left="284" w:hanging="284"/>
        <w:rPr>
          <w:b/>
          <w:highlight w:val="lightGray"/>
        </w:rPr>
      </w:pPr>
    </w:p>
    <w:tbl>
      <w:tblPr>
        <w:tblStyle w:val="TableGrid"/>
        <w:tblW w:w="15168" w:type="dxa"/>
        <w:tblInd w:w="-5" w:type="dxa"/>
        <w:tblLook w:val="04A0" w:firstRow="1" w:lastRow="0" w:firstColumn="1" w:lastColumn="0" w:noHBand="0" w:noVBand="1"/>
      </w:tblPr>
      <w:tblGrid>
        <w:gridCol w:w="12758"/>
        <w:gridCol w:w="2410"/>
      </w:tblGrid>
      <w:tr w:rsidR="002740E2" w:rsidTr="002740E2">
        <w:tc>
          <w:tcPr>
            <w:tcW w:w="12758" w:type="dxa"/>
            <w:shd w:val="clear" w:color="auto" w:fill="AEAAAA" w:themeFill="background2" w:themeFillShade="BF"/>
            <w:vAlign w:val="center"/>
          </w:tcPr>
          <w:p w:rsidR="002740E2" w:rsidRPr="00C6208F" w:rsidRDefault="002740E2" w:rsidP="002740E2">
            <w:pPr>
              <w:spacing w:before="120" w:after="120" w:line="276" w:lineRule="auto"/>
              <w:ind w:left="284" w:hanging="284"/>
              <w:rPr>
                <w:b/>
                <w:sz w:val="32"/>
                <w:szCs w:val="32"/>
                <w:highlight w:val="lightGray"/>
              </w:rPr>
            </w:pPr>
            <w:r w:rsidRPr="00C6208F">
              <w:rPr>
                <w:b/>
                <w:sz w:val="32"/>
                <w:szCs w:val="32"/>
              </w:rPr>
              <w:t>Operators Obligations - Movements of Aquaculture Animals</w:t>
            </w:r>
          </w:p>
        </w:tc>
        <w:tc>
          <w:tcPr>
            <w:tcW w:w="2410" w:type="dxa"/>
            <w:shd w:val="clear" w:color="auto" w:fill="AEAAAA" w:themeFill="background2" w:themeFillShade="BF"/>
            <w:vAlign w:val="center"/>
          </w:tcPr>
          <w:p w:rsidR="002740E2" w:rsidRPr="002740E2" w:rsidRDefault="002740E2" w:rsidP="002740E2">
            <w:pPr>
              <w:spacing w:before="120" w:after="120" w:line="276" w:lineRule="auto"/>
              <w:ind w:left="31"/>
              <w:rPr>
                <w:b/>
                <w:sz w:val="28"/>
                <w:szCs w:val="28"/>
                <w:highlight w:val="lightGray"/>
              </w:rPr>
            </w:pPr>
            <w:r w:rsidRPr="002740E2">
              <w:rPr>
                <w:b/>
                <w:sz w:val="28"/>
                <w:szCs w:val="28"/>
              </w:rPr>
              <w:t>Legislation</w:t>
            </w:r>
            <w:r>
              <w:rPr>
                <w:b/>
                <w:sz w:val="28"/>
                <w:szCs w:val="28"/>
              </w:rPr>
              <w:t xml:space="preserve"> Reference</w:t>
            </w:r>
          </w:p>
        </w:tc>
      </w:tr>
      <w:tr w:rsidR="0072388C" w:rsidTr="0093236C">
        <w:tc>
          <w:tcPr>
            <w:tcW w:w="12758" w:type="dxa"/>
          </w:tcPr>
          <w:p w:rsidR="0072388C" w:rsidRDefault="0072388C" w:rsidP="0072388C">
            <w:pPr>
              <w:spacing w:after="60" w:line="312" w:lineRule="auto"/>
            </w:pPr>
            <w:r>
              <w:t xml:space="preserve">Operators </w:t>
            </w:r>
            <w:r w:rsidR="002740E2" w:rsidRPr="002740E2">
              <w:t>are</w:t>
            </w:r>
            <w:r w:rsidRPr="0072388C">
              <w:rPr>
                <w:b/>
              </w:rPr>
              <w:t xml:space="preserve"> only </w:t>
            </w:r>
            <w:r w:rsidR="002740E2">
              <w:rPr>
                <w:b/>
              </w:rPr>
              <w:t xml:space="preserve">permitted to </w:t>
            </w:r>
            <w:r w:rsidRPr="0072388C">
              <w:rPr>
                <w:b/>
              </w:rPr>
              <w:t>move aquatic animals</w:t>
            </w:r>
            <w:r>
              <w:t xml:space="preserve"> from an aquaculture establishment if the animals in question:</w:t>
            </w:r>
          </w:p>
          <w:p w:rsidR="0072388C" w:rsidRDefault="0072388C" w:rsidP="0072388C">
            <w:pPr>
              <w:pStyle w:val="ListParagraph"/>
              <w:numPr>
                <w:ilvl w:val="1"/>
                <w:numId w:val="2"/>
              </w:numPr>
              <w:spacing w:after="60" w:line="312" w:lineRule="auto"/>
              <w:ind w:left="284" w:hanging="284"/>
            </w:pPr>
            <w:r>
              <w:t>show no disease symptoms; and</w:t>
            </w:r>
          </w:p>
          <w:p w:rsidR="0072388C" w:rsidRPr="00C06CB4" w:rsidRDefault="0072388C" w:rsidP="0072388C">
            <w:pPr>
              <w:pStyle w:val="ListParagraph"/>
              <w:numPr>
                <w:ilvl w:val="1"/>
                <w:numId w:val="2"/>
              </w:numPr>
              <w:spacing w:after="60" w:line="312" w:lineRule="auto"/>
              <w:ind w:left="284" w:hanging="284"/>
            </w:pPr>
            <w:r>
              <w:t>originate from an aquaculture establishment or environment where there are no abnormal mortalities with an undetermined cause.</w:t>
            </w:r>
          </w:p>
        </w:tc>
        <w:tc>
          <w:tcPr>
            <w:tcW w:w="2410" w:type="dxa"/>
          </w:tcPr>
          <w:p w:rsidR="0072388C" w:rsidRPr="00C06CB4" w:rsidRDefault="00A51A2C" w:rsidP="0072388C">
            <w:pPr>
              <w:spacing w:after="60" w:line="312" w:lineRule="auto"/>
            </w:pPr>
            <w:hyperlink r:id="rId5" w:history="1">
              <w:r w:rsidR="0072388C" w:rsidRPr="001D1B9E">
                <w:rPr>
                  <w:rStyle w:val="Hyperlink"/>
                </w:rPr>
                <w:t>Article 196 of Regulation EU 2016/429</w:t>
              </w:r>
            </w:hyperlink>
          </w:p>
        </w:tc>
      </w:tr>
      <w:tr w:rsidR="00C06CB4" w:rsidTr="0093236C">
        <w:tc>
          <w:tcPr>
            <w:tcW w:w="12758" w:type="dxa"/>
          </w:tcPr>
          <w:p w:rsidR="00C06CB4" w:rsidRPr="00C06CB4" w:rsidRDefault="00C06CB4" w:rsidP="0072388C">
            <w:pPr>
              <w:spacing w:after="60" w:line="312" w:lineRule="auto"/>
            </w:pPr>
            <w:r>
              <w:t xml:space="preserve">Operators are obligated to take </w:t>
            </w:r>
            <w:r w:rsidRPr="00D40914">
              <w:rPr>
                <w:b/>
              </w:rPr>
              <w:t>appropriate disease and prevention measures in relation to transport operations</w:t>
            </w:r>
            <w:r>
              <w:rPr>
                <w:b/>
              </w:rPr>
              <w:t xml:space="preserve"> </w:t>
            </w:r>
            <w:r w:rsidRPr="00D40914">
              <w:t>to avoid the spread of disease</w:t>
            </w:r>
            <w:r w:rsidR="002740E2">
              <w:t>.</w:t>
            </w:r>
          </w:p>
        </w:tc>
        <w:tc>
          <w:tcPr>
            <w:tcW w:w="2410" w:type="dxa"/>
          </w:tcPr>
          <w:p w:rsidR="00C06CB4" w:rsidRPr="00C06CB4" w:rsidRDefault="00A51A2C" w:rsidP="0072388C">
            <w:pPr>
              <w:spacing w:after="60" w:line="312" w:lineRule="auto"/>
            </w:pPr>
            <w:hyperlink r:id="rId6" w:history="1">
              <w:r w:rsidR="00C06CB4" w:rsidRPr="001D1B9E">
                <w:rPr>
                  <w:rStyle w:val="Hyperlink"/>
                </w:rPr>
                <w:t>Article 192 of Regulation EU 2016/429</w:t>
              </w:r>
            </w:hyperlink>
          </w:p>
        </w:tc>
      </w:tr>
      <w:tr w:rsidR="0072388C" w:rsidTr="0093236C">
        <w:tc>
          <w:tcPr>
            <w:tcW w:w="12758" w:type="dxa"/>
          </w:tcPr>
          <w:p w:rsidR="0072388C" w:rsidRPr="00C80BDC" w:rsidRDefault="0072388C" w:rsidP="0072388C">
            <w:pPr>
              <w:spacing w:after="60" w:line="312" w:lineRule="auto"/>
            </w:pPr>
            <w:r>
              <w:t xml:space="preserve">Operators </w:t>
            </w:r>
            <w:r w:rsidR="002740E2">
              <w:rPr>
                <w:b/>
              </w:rPr>
              <w:t>must</w:t>
            </w:r>
            <w:r w:rsidRPr="0072388C">
              <w:rPr>
                <w:b/>
              </w:rPr>
              <w:t xml:space="preserve"> take appropriate preventive measures </w:t>
            </w:r>
            <w:r>
              <w:t>to ensure that, during all stages of the production, processing and distribution of products of animal origin from aquatic animals, other than live aquatic animals, those products do not cause the spread of:</w:t>
            </w:r>
          </w:p>
          <w:p w:rsidR="0072388C" w:rsidRPr="00C80BDC" w:rsidRDefault="0072388C" w:rsidP="0072388C">
            <w:pPr>
              <w:pStyle w:val="ListParagraph"/>
              <w:numPr>
                <w:ilvl w:val="1"/>
                <w:numId w:val="3"/>
              </w:numPr>
              <w:spacing w:after="60" w:line="312" w:lineRule="auto"/>
              <w:ind w:left="284" w:hanging="284"/>
            </w:pPr>
            <w:r>
              <w:t>listed diseases as referred to in point (d) of Article 9(1), taking into account the health status of the place of production, processing and destination;</w:t>
            </w:r>
          </w:p>
          <w:p w:rsidR="0072388C" w:rsidRDefault="0072388C" w:rsidP="0072388C">
            <w:pPr>
              <w:pStyle w:val="ListParagraph"/>
              <w:numPr>
                <w:ilvl w:val="1"/>
                <w:numId w:val="3"/>
              </w:numPr>
              <w:spacing w:after="60" w:line="312" w:lineRule="auto"/>
              <w:ind w:left="284" w:hanging="284"/>
            </w:pPr>
            <w:r>
              <w:t>emerging diseases.</w:t>
            </w:r>
          </w:p>
        </w:tc>
        <w:tc>
          <w:tcPr>
            <w:tcW w:w="2410" w:type="dxa"/>
          </w:tcPr>
          <w:p w:rsidR="0072388C" w:rsidRDefault="00A51A2C" w:rsidP="0072388C">
            <w:pPr>
              <w:spacing w:after="60" w:line="312" w:lineRule="auto"/>
            </w:pPr>
            <w:hyperlink r:id="rId7" w:history="1">
              <w:r w:rsidR="0072388C" w:rsidRPr="001D1B9E">
                <w:rPr>
                  <w:rStyle w:val="Hyperlink"/>
                </w:rPr>
                <w:t>Article 222 of Regulation EU 2016/429</w:t>
              </w:r>
            </w:hyperlink>
          </w:p>
        </w:tc>
      </w:tr>
      <w:tr w:rsidR="006C1920" w:rsidTr="002740E2">
        <w:tc>
          <w:tcPr>
            <w:tcW w:w="12758" w:type="dxa"/>
            <w:shd w:val="clear" w:color="auto" w:fill="D9D9D9" w:themeFill="background1" w:themeFillShade="D9"/>
          </w:tcPr>
          <w:p w:rsidR="006C1920" w:rsidRPr="00C06CB4" w:rsidRDefault="006C1920" w:rsidP="0072388C">
            <w:pPr>
              <w:spacing w:after="60" w:line="312" w:lineRule="auto"/>
            </w:pPr>
            <w:r w:rsidRPr="00C6208F">
              <w:rPr>
                <w:b/>
                <w:sz w:val="28"/>
                <w:szCs w:val="28"/>
              </w:rPr>
              <w:t xml:space="preserve">Notification </w:t>
            </w:r>
            <w:r w:rsidR="002740E2">
              <w:rPr>
                <w:b/>
                <w:sz w:val="28"/>
                <w:szCs w:val="28"/>
              </w:rPr>
              <w:t>Requirements</w:t>
            </w:r>
          </w:p>
        </w:tc>
        <w:tc>
          <w:tcPr>
            <w:tcW w:w="2410" w:type="dxa"/>
            <w:shd w:val="clear" w:color="auto" w:fill="D9D9D9" w:themeFill="background1" w:themeFillShade="D9"/>
          </w:tcPr>
          <w:p w:rsidR="006C1920" w:rsidRPr="00C06CB4" w:rsidRDefault="006C1920" w:rsidP="0072388C">
            <w:pPr>
              <w:spacing w:after="60" w:line="312" w:lineRule="auto"/>
            </w:pPr>
          </w:p>
        </w:tc>
      </w:tr>
      <w:tr w:rsidR="006C1920" w:rsidTr="0093236C">
        <w:tc>
          <w:tcPr>
            <w:tcW w:w="12758" w:type="dxa"/>
          </w:tcPr>
          <w:p w:rsidR="006C1920" w:rsidRPr="00C06CB4" w:rsidRDefault="006C1920" w:rsidP="0072388C">
            <w:pPr>
              <w:spacing w:after="60" w:line="312" w:lineRule="auto"/>
            </w:pPr>
            <w:r>
              <w:t xml:space="preserve">Operators other than transporters </w:t>
            </w:r>
            <w:r w:rsidR="002740E2">
              <w:rPr>
                <w:b/>
              </w:rPr>
              <w:t>must</w:t>
            </w:r>
            <w:r w:rsidRPr="006C1920">
              <w:rPr>
                <w:b/>
              </w:rPr>
              <w:t xml:space="preserve"> notify the competent authority in their Member State of origin in advance of intended movements of aquatic animals </w:t>
            </w:r>
            <w:r>
              <w:t xml:space="preserve">from one Member State to another Member State. </w:t>
            </w:r>
          </w:p>
        </w:tc>
        <w:tc>
          <w:tcPr>
            <w:tcW w:w="2410" w:type="dxa"/>
          </w:tcPr>
          <w:p w:rsidR="006C1920" w:rsidRPr="00C06CB4" w:rsidRDefault="00A51A2C" w:rsidP="0072388C">
            <w:pPr>
              <w:spacing w:after="60" w:line="312" w:lineRule="auto"/>
            </w:pPr>
            <w:hyperlink r:id="rId8" w:history="1">
              <w:r w:rsidR="006C1920" w:rsidRPr="001D1B9E">
                <w:rPr>
                  <w:rStyle w:val="Hyperlink"/>
                </w:rPr>
                <w:t>Article 219 of Regulation EU 2016/429</w:t>
              </w:r>
            </w:hyperlink>
          </w:p>
        </w:tc>
      </w:tr>
      <w:tr w:rsidR="006C1920" w:rsidTr="0093236C">
        <w:tc>
          <w:tcPr>
            <w:tcW w:w="12758" w:type="dxa"/>
          </w:tcPr>
          <w:p w:rsidR="006C1920" w:rsidRPr="00C06CB4" w:rsidRDefault="006C1920" w:rsidP="0072388C">
            <w:pPr>
              <w:spacing w:after="60" w:line="312" w:lineRule="auto"/>
            </w:pPr>
            <w:r>
              <w:t xml:space="preserve">The competent authority of the Member State of origin </w:t>
            </w:r>
            <w:r w:rsidRPr="006C1920">
              <w:rPr>
                <w:b/>
              </w:rPr>
              <w:t>shall notify the competent authority of the Member State of destination of movements of aquatic animals</w:t>
            </w:r>
            <w:r>
              <w:t>.</w:t>
            </w:r>
          </w:p>
        </w:tc>
        <w:tc>
          <w:tcPr>
            <w:tcW w:w="2410" w:type="dxa"/>
          </w:tcPr>
          <w:p w:rsidR="006C1920" w:rsidRPr="00C06CB4" w:rsidRDefault="00A51A2C" w:rsidP="0072388C">
            <w:pPr>
              <w:spacing w:after="60" w:line="312" w:lineRule="auto"/>
            </w:pPr>
            <w:hyperlink r:id="rId9" w:history="1">
              <w:r w:rsidR="006C1920" w:rsidRPr="001D1B9E">
                <w:rPr>
                  <w:rStyle w:val="Hyperlink"/>
                </w:rPr>
                <w:t>Article 220(1) of Regulation EU 2016/429</w:t>
              </w:r>
            </w:hyperlink>
          </w:p>
        </w:tc>
      </w:tr>
      <w:tr w:rsidR="0093236C" w:rsidTr="002740E2">
        <w:tc>
          <w:tcPr>
            <w:tcW w:w="12758" w:type="dxa"/>
            <w:shd w:val="clear" w:color="auto" w:fill="D9D9D9" w:themeFill="background1" w:themeFillShade="D9"/>
          </w:tcPr>
          <w:p w:rsidR="0093236C" w:rsidRPr="00C6208F" w:rsidRDefault="0093236C" w:rsidP="0072388C">
            <w:pPr>
              <w:spacing w:after="60" w:line="312" w:lineRule="auto"/>
              <w:rPr>
                <w:b/>
                <w:sz w:val="28"/>
                <w:szCs w:val="28"/>
              </w:rPr>
            </w:pPr>
            <w:r w:rsidRPr="00C6208F">
              <w:rPr>
                <w:b/>
                <w:sz w:val="28"/>
                <w:szCs w:val="28"/>
              </w:rPr>
              <w:t>Self-declaration Documents</w:t>
            </w:r>
          </w:p>
        </w:tc>
        <w:tc>
          <w:tcPr>
            <w:tcW w:w="2410" w:type="dxa"/>
            <w:shd w:val="clear" w:color="auto" w:fill="D9D9D9" w:themeFill="background1" w:themeFillShade="D9"/>
          </w:tcPr>
          <w:p w:rsidR="0093236C" w:rsidRPr="00C06CB4" w:rsidRDefault="0093236C" w:rsidP="0072388C">
            <w:pPr>
              <w:spacing w:after="60" w:line="312" w:lineRule="auto"/>
            </w:pPr>
          </w:p>
        </w:tc>
      </w:tr>
      <w:tr w:rsidR="0093236C" w:rsidTr="0093236C">
        <w:tc>
          <w:tcPr>
            <w:tcW w:w="12758" w:type="dxa"/>
          </w:tcPr>
          <w:p w:rsidR="0093236C" w:rsidRDefault="0093236C" w:rsidP="0072388C">
            <w:pPr>
              <w:spacing w:after="60" w:line="312" w:lineRule="auto"/>
            </w:pPr>
            <w:r>
              <w:t>Operat</w:t>
            </w:r>
            <w:r w:rsidR="002740E2">
              <w:t xml:space="preserve">ors at the place of origin </w:t>
            </w:r>
            <w:r w:rsidR="002740E2" w:rsidRPr="002740E2">
              <w:rPr>
                <w:b/>
              </w:rPr>
              <w:t>must</w:t>
            </w:r>
            <w:r>
              <w:t xml:space="preserve"> </w:t>
            </w:r>
            <w:r w:rsidRPr="00E025DE">
              <w:rPr>
                <w:b/>
              </w:rPr>
              <w:t>issue a self–declaration document for movements of aquaculture animals from their place of origin</w:t>
            </w:r>
            <w:r>
              <w:t xml:space="preserve"> in one Member State to their place of destination in another Member State, and shall ensure that it accompanies such aquaculture animals, where they are not required to be accompanied by an animal health certificate</w:t>
            </w:r>
          </w:p>
        </w:tc>
        <w:tc>
          <w:tcPr>
            <w:tcW w:w="2410" w:type="dxa"/>
          </w:tcPr>
          <w:p w:rsidR="0093236C" w:rsidRPr="00C06CB4" w:rsidRDefault="00A51A2C" w:rsidP="0072388C">
            <w:pPr>
              <w:spacing w:after="60" w:line="312" w:lineRule="auto"/>
            </w:pPr>
            <w:hyperlink r:id="rId10" w:history="1">
              <w:r w:rsidR="0093236C" w:rsidRPr="001D1B9E">
                <w:rPr>
                  <w:rStyle w:val="Hyperlink"/>
                </w:rPr>
                <w:t>Article 215 of Regulation EU 2016/429</w:t>
              </w:r>
            </w:hyperlink>
          </w:p>
        </w:tc>
      </w:tr>
      <w:tr w:rsidR="0093236C" w:rsidTr="0093236C">
        <w:tc>
          <w:tcPr>
            <w:tcW w:w="12758" w:type="dxa"/>
          </w:tcPr>
          <w:p w:rsidR="0093236C" w:rsidRPr="00C06CB4" w:rsidRDefault="0093236C" w:rsidP="0072388C">
            <w:pPr>
              <w:spacing w:after="60" w:line="312" w:lineRule="auto"/>
            </w:pPr>
            <w:r>
              <w:t xml:space="preserve">Operators of aquaculture establishments receiving aquatic animals are </w:t>
            </w:r>
            <w:r w:rsidRPr="004E53C4">
              <w:rPr>
                <w:b/>
              </w:rPr>
              <w:t>obligated t</w:t>
            </w:r>
            <w:r>
              <w:rPr>
                <w:b/>
              </w:rPr>
              <w:t>o review</w:t>
            </w:r>
            <w:r w:rsidRPr="004E53C4">
              <w:rPr>
                <w:b/>
              </w:rPr>
              <w:t xml:space="preserve"> self-declaration documents to ensure compliance with regulations.</w:t>
            </w:r>
            <w:r>
              <w:t xml:space="preserve"> Operators have a responsibility to inform the competent authority of any irregularities encountered.</w:t>
            </w:r>
          </w:p>
        </w:tc>
        <w:tc>
          <w:tcPr>
            <w:tcW w:w="2410" w:type="dxa"/>
          </w:tcPr>
          <w:p w:rsidR="0093236C" w:rsidRPr="00C06CB4" w:rsidRDefault="00A51A2C" w:rsidP="0072388C">
            <w:pPr>
              <w:spacing w:after="60" w:line="312" w:lineRule="auto"/>
            </w:pPr>
            <w:hyperlink r:id="rId11" w:history="1">
              <w:r w:rsidR="0093236C" w:rsidRPr="001D1B9E">
                <w:rPr>
                  <w:rStyle w:val="Hyperlink"/>
                </w:rPr>
                <w:t>Article 194 of Regulation EU 2016/429</w:t>
              </w:r>
            </w:hyperlink>
          </w:p>
        </w:tc>
      </w:tr>
    </w:tbl>
    <w:p w:rsidR="00A51A2C" w:rsidRDefault="00A51A2C">
      <w:r>
        <w:br w:type="page"/>
      </w:r>
      <w:bookmarkStart w:id="0" w:name="_GoBack"/>
      <w:bookmarkEnd w:id="0"/>
    </w:p>
    <w:tbl>
      <w:tblPr>
        <w:tblStyle w:val="TableGrid"/>
        <w:tblW w:w="15168" w:type="dxa"/>
        <w:tblInd w:w="-5" w:type="dxa"/>
        <w:tblLook w:val="04A0" w:firstRow="1" w:lastRow="0" w:firstColumn="1" w:lastColumn="0" w:noHBand="0" w:noVBand="1"/>
      </w:tblPr>
      <w:tblGrid>
        <w:gridCol w:w="12758"/>
        <w:gridCol w:w="2410"/>
      </w:tblGrid>
      <w:tr w:rsidR="00C06CB4" w:rsidTr="002740E2">
        <w:tc>
          <w:tcPr>
            <w:tcW w:w="12758" w:type="dxa"/>
            <w:shd w:val="clear" w:color="auto" w:fill="D9D9D9" w:themeFill="background1" w:themeFillShade="D9"/>
          </w:tcPr>
          <w:p w:rsidR="00C06CB4" w:rsidRPr="00C6208F" w:rsidRDefault="0093236C" w:rsidP="0072388C">
            <w:pPr>
              <w:spacing w:after="60" w:line="312" w:lineRule="auto"/>
              <w:rPr>
                <w:b/>
                <w:sz w:val="28"/>
                <w:szCs w:val="28"/>
              </w:rPr>
            </w:pPr>
            <w:r w:rsidRPr="00C6208F">
              <w:rPr>
                <w:b/>
                <w:sz w:val="28"/>
                <w:szCs w:val="28"/>
              </w:rPr>
              <w:lastRenderedPageBreak/>
              <w:t>Health Certification</w:t>
            </w:r>
          </w:p>
        </w:tc>
        <w:tc>
          <w:tcPr>
            <w:tcW w:w="2410" w:type="dxa"/>
            <w:shd w:val="clear" w:color="auto" w:fill="D9D9D9" w:themeFill="background1" w:themeFillShade="D9"/>
          </w:tcPr>
          <w:p w:rsidR="00C06CB4" w:rsidRPr="00C06CB4" w:rsidRDefault="00C06CB4" w:rsidP="0072388C">
            <w:pPr>
              <w:spacing w:after="60" w:line="312" w:lineRule="auto"/>
            </w:pPr>
          </w:p>
        </w:tc>
      </w:tr>
      <w:tr w:rsidR="00C06CB4" w:rsidTr="0093236C">
        <w:tc>
          <w:tcPr>
            <w:tcW w:w="12758" w:type="dxa"/>
          </w:tcPr>
          <w:p w:rsidR="00C06CB4" w:rsidRDefault="00C06CB4" w:rsidP="0072388C">
            <w:pPr>
              <w:spacing w:after="60" w:line="312" w:lineRule="auto"/>
            </w:pPr>
            <w:r>
              <w:t xml:space="preserve">Operators are </w:t>
            </w:r>
            <w:r w:rsidRPr="00F72F4B">
              <w:rPr>
                <w:b/>
              </w:rPr>
              <w:t>obligated to ensure that aquaculture animals are accompanied by an animal health certificate issued by the competent authority of the Member State of origin</w:t>
            </w:r>
            <w:r>
              <w:t xml:space="preserve"> in accordance with Article 216(1), where the animals in question are of listed species for the listed diseases referred to in points (b) and (c) of Article 9(1) and are intended for introduction into a Member State, or a zone or compartment thereof, which has been declared disease–free</w:t>
            </w:r>
          </w:p>
        </w:tc>
        <w:tc>
          <w:tcPr>
            <w:tcW w:w="2410" w:type="dxa"/>
          </w:tcPr>
          <w:p w:rsidR="00C06CB4" w:rsidRPr="00C06CB4" w:rsidRDefault="00A51A2C" w:rsidP="0072388C">
            <w:pPr>
              <w:spacing w:after="60" w:line="312" w:lineRule="auto"/>
            </w:pPr>
            <w:hyperlink r:id="rId12" w:history="1">
              <w:r w:rsidR="00C06CB4" w:rsidRPr="001D1B9E">
                <w:rPr>
                  <w:rStyle w:val="Hyperlink"/>
                </w:rPr>
                <w:t>Article 208 of Regulation EU 2016/429</w:t>
              </w:r>
            </w:hyperlink>
          </w:p>
        </w:tc>
      </w:tr>
      <w:tr w:rsidR="0093236C" w:rsidTr="0093236C">
        <w:tc>
          <w:tcPr>
            <w:tcW w:w="12758" w:type="dxa"/>
          </w:tcPr>
          <w:p w:rsidR="0093236C" w:rsidRDefault="0093236C" w:rsidP="0072388C">
            <w:pPr>
              <w:spacing w:after="60" w:line="312" w:lineRule="auto"/>
            </w:pPr>
            <w:r>
              <w:t xml:space="preserve">Operators are obligated to </w:t>
            </w:r>
            <w:r w:rsidRPr="00E025DE">
              <w:rPr>
                <w:b/>
              </w:rPr>
              <w:t>cooperate with the competent authority for the purpose of animal health certification</w:t>
            </w:r>
            <w:r>
              <w:t xml:space="preserve"> ensuring that the aquatic animals in question are subjected to documentary, identity and physical checks as provided for in Article 216(3) and in the rules adopted pursuant to Article 216(4)</w:t>
            </w:r>
          </w:p>
        </w:tc>
        <w:tc>
          <w:tcPr>
            <w:tcW w:w="2410" w:type="dxa"/>
          </w:tcPr>
          <w:p w:rsidR="0093236C" w:rsidRDefault="00A51A2C" w:rsidP="0072388C">
            <w:pPr>
              <w:spacing w:after="60" w:line="312" w:lineRule="auto"/>
            </w:pPr>
            <w:hyperlink r:id="rId13" w:history="1">
              <w:r w:rsidR="0093236C" w:rsidRPr="001D1B9E">
                <w:rPr>
                  <w:rStyle w:val="Hyperlink"/>
                </w:rPr>
                <w:t>Article 215 of Regulation EU 2016/429</w:t>
              </w:r>
            </w:hyperlink>
          </w:p>
        </w:tc>
      </w:tr>
      <w:tr w:rsidR="0093236C" w:rsidTr="0093236C">
        <w:tc>
          <w:tcPr>
            <w:tcW w:w="12758" w:type="dxa"/>
          </w:tcPr>
          <w:p w:rsidR="0093236C" w:rsidRDefault="002740E2" w:rsidP="0072388C">
            <w:pPr>
              <w:spacing w:after="60" w:line="312" w:lineRule="auto"/>
            </w:pPr>
            <w:r>
              <w:t>Operators should</w:t>
            </w:r>
            <w:r w:rsidR="0093236C">
              <w:t xml:space="preserve"> take all necessary measures to </w:t>
            </w:r>
            <w:r w:rsidR="0093236C" w:rsidRPr="00E025DE">
              <w:rPr>
                <w:b/>
              </w:rPr>
              <w:t>ensure that the animal health certificate accompanies the aquaculture animals from their place of origin to their final place of destination</w:t>
            </w:r>
          </w:p>
        </w:tc>
        <w:tc>
          <w:tcPr>
            <w:tcW w:w="2410" w:type="dxa"/>
          </w:tcPr>
          <w:p w:rsidR="0093236C" w:rsidRDefault="00A51A2C" w:rsidP="0072388C">
            <w:pPr>
              <w:spacing w:after="60" w:line="312" w:lineRule="auto"/>
            </w:pPr>
            <w:hyperlink r:id="rId14" w:history="1">
              <w:r w:rsidR="0093236C" w:rsidRPr="001D1B9E">
                <w:rPr>
                  <w:rStyle w:val="Hyperlink"/>
                </w:rPr>
                <w:t>Article 208 of Regulation EU 2016/429</w:t>
              </w:r>
            </w:hyperlink>
          </w:p>
        </w:tc>
      </w:tr>
      <w:tr w:rsidR="00C06CB4" w:rsidTr="0093236C">
        <w:tc>
          <w:tcPr>
            <w:tcW w:w="12758" w:type="dxa"/>
          </w:tcPr>
          <w:p w:rsidR="00C06CB4" w:rsidRPr="00C06CB4" w:rsidRDefault="00C06CB4" w:rsidP="0072388C">
            <w:pPr>
              <w:spacing w:after="60" w:line="312" w:lineRule="auto"/>
            </w:pPr>
            <w:r>
              <w:t xml:space="preserve">Operators of aquaculture establishments receiving aquatic animals are </w:t>
            </w:r>
            <w:r w:rsidRPr="004E53C4">
              <w:rPr>
                <w:b/>
              </w:rPr>
              <w:t>obligated to review health certificatio</w:t>
            </w:r>
            <w:r w:rsidR="0093236C">
              <w:rPr>
                <w:b/>
              </w:rPr>
              <w:t xml:space="preserve">n document </w:t>
            </w:r>
            <w:r w:rsidRPr="004E53C4">
              <w:rPr>
                <w:b/>
              </w:rPr>
              <w:t>to ensure compliance with regulations.</w:t>
            </w:r>
            <w:r>
              <w:t xml:space="preserve"> Operators have a responsibility to inform the competent authority of any irregularities encountered.</w:t>
            </w:r>
          </w:p>
        </w:tc>
        <w:tc>
          <w:tcPr>
            <w:tcW w:w="2410" w:type="dxa"/>
          </w:tcPr>
          <w:p w:rsidR="00C06CB4" w:rsidRPr="00C06CB4" w:rsidRDefault="00A51A2C" w:rsidP="0072388C">
            <w:pPr>
              <w:spacing w:after="60" w:line="312" w:lineRule="auto"/>
            </w:pPr>
            <w:hyperlink r:id="rId15" w:history="1">
              <w:r w:rsidR="00C06CB4" w:rsidRPr="001D1B9E">
                <w:rPr>
                  <w:rStyle w:val="Hyperlink"/>
                </w:rPr>
                <w:t>Article 194 of Regulation EU 2016/429</w:t>
              </w:r>
            </w:hyperlink>
          </w:p>
        </w:tc>
      </w:tr>
    </w:tbl>
    <w:p w:rsidR="00C06CB4" w:rsidRDefault="00C06CB4" w:rsidP="00C06CB4">
      <w:pPr>
        <w:spacing w:line="360" w:lineRule="auto"/>
        <w:ind w:left="284" w:hanging="284"/>
        <w:rPr>
          <w:b/>
          <w:highlight w:val="lightGray"/>
        </w:rPr>
      </w:pPr>
    </w:p>
    <w:p w:rsidR="00C06CB4" w:rsidRPr="007911ED" w:rsidRDefault="00C06CB4" w:rsidP="00C06CB4">
      <w:pPr>
        <w:spacing w:line="360" w:lineRule="auto"/>
        <w:ind w:left="284" w:hanging="284"/>
        <w:rPr>
          <w:b/>
          <w:highlight w:val="lightGray"/>
        </w:rPr>
      </w:pPr>
    </w:p>
    <w:p w:rsidR="00E44661" w:rsidRDefault="00A51A2C"/>
    <w:sectPr w:rsidR="00E44661" w:rsidSect="0093236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C189D"/>
    <w:multiLevelType w:val="hybridMultilevel"/>
    <w:tmpl w:val="D92871E2"/>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309398C"/>
    <w:multiLevelType w:val="hybridMultilevel"/>
    <w:tmpl w:val="DEAAC13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3E6727CB"/>
    <w:multiLevelType w:val="hybridMultilevel"/>
    <w:tmpl w:val="0E320C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82D7394"/>
    <w:multiLevelType w:val="hybridMultilevel"/>
    <w:tmpl w:val="8918FFB4"/>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B4"/>
    <w:rsid w:val="001D1B9E"/>
    <w:rsid w:val="001E14D8"/>
    <w:rsid w:val="002740E2"/>
    <w:rsid w:val="00475AC9"/>
    <w:rsid w:val="006C1920"/>
    <w:rsid w:val="0072388C"/>
    <w:rsid w:val="0093236C"/>
    <w:rsid w:val="00A51A2C"/>
    <w:rsid w:val="00C06CB4"/>
    <w:rsid w:val="00C620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76288-72D4-4400-A6FE-BD1C53D7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C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CB4"/>
    <w:pPr>
      <w:ind w:left="720"/>
      <w:contextualSpacing/>
    </w:pPr>
  </w:style>
  <w:style w:type="table" w:styleId="TableGrid">
    <w:name w:val="Table Grid"/>
    <w:basedOn w:val="TableNormal"/>
    <w:uiPriority w:val="39"/>
    <w:rsid w:val="00C06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1B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32016R0429&amp;qid=1658921407466" TargetMode="External"/><Relationship Id="rId13" Type="http://schemas.openxmlformats.org/officeDocument/2006/relationships/hyperlink" Target="https://eur-lex.europa.eu/legal-content/EN/TXT/?uri=CELEX%3A32016R0429&amp;qid=1658921407466" TargetMode="External"/><Relationship Id="rId3" Type="http://schemas.openxmlformats.org/officeDocument/2006/relationships/settings" Target="settings.xml"/><Relationship Id="rId7" Type="http://schemas.openxmlformats.org/officeDocument/2006/relationships/hyperlink" Target="https://eur-lex.europa.eu/legal-content/EN/TXT/?uri=CELEX%3A32016R0429&amp;qid=1658921407466" TargetMode="External"/><Relationship Id="rId12" Type="http://schemas.openxmlformats.org/officeDocument/2006/relationships/hyperlink" Target="https://eur-lex.europa.eu/legal-content/EN/TXT/?uri=CELEX%3A32016R0429&amp;qid=165892140746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ur-lex.europa.eu/legal-content/EN/TXT/?uri=CELEX%3A32016R0429&amp;qid=1658921407466" TargetMode="External"/><Relationship Id="rId11" Type="http://schemas.openxmlformats.org/officeDocument/2006/relationships/hyperlink" Target="https://eur-lex.europa.eu/legal-content/EN/TXT/?uri=CELEX%3A32016R0429&amp;qid=1658921407466" TargetMode="External"/><Relationship Id="rId5" Type="http://schemas.openxmlformats.org/officeDocument/2006/relationships/hyperlink" Target="https://eur-lex.europa.eu/legal-content/EN/TXT/?uri=CELEX%3A32016R0429&amp;qid=1658921407466" TargetMode="External"/><Relationship Id="rId15" Type="http://schemas.openxmlformats.org/officeDocument/2006/relationships/hyperlink" Target="https://eur-lex.europa.eu/legal-content/EN/TXT/?uri=CELEX%3A32016R0429&amp;qid=1658921407466" TargetMode="External"/><Relationship Id="rId10" Type="http://schemas.openxmlformats.org/officeDocument/2006/relationships/hyperlink" Target="https://eur-lex.europa.eu/legal-content/EN/TXT/?uri=CELEX%3A32016R0429&amp;qid=1658921407466" TargetMode="External"/><Relationship Id="rId4" Type="http://schemas.openxmlformats.org/officeDocument/2006/relationships/webSettings" Target="webSettings.xml"/><Relationship Id="rId9" Type="http://schemas.openxmlformats.org/officeDocument/2006/relationships/hyperlink" Target="https://eur-lex.europa.eu/legal-content/EN/TXT/?uri=CELEX%3A32016R0429&amp;qid=1658921407466" TargetMode="External"/><Relationship Id="rId14" Type="http://schemas.openxmlformats.org/officeDocument/2006/relationships/hyperlink" Target="https://eur-lex.europa.eu/legal-content/EN/TXT/?uri=CELEX%3A32016R0429&amp;qid=16589214074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Patricia O'Kane</cp:lastModifiedBy>
  <cp:revision>6</cp:revision>
  <dcterms:created xsi:type="dcterms:W3CDTF">2023-03-22T14:48:00Z</dcterms:created>
  <dcterms:modified xsi:type="dcterms:W3CDTF">2023-03-23T09:23:00Z</dcterms:modified>
</cp:coreProperties>
</file>